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288" w:rsidRDefault="007C1288" w:rsidP="007C1288">
      <w:pPr>
        <w:jc w:val="center"/>
      </w:pPr>
      <w:r>
        <w:rPr>
          <w:noProof/>
          <w:lang w:val="en-US"/>
        </w:rPr>
        <w:drawing>
          <wp:inline distT="0" distB="0" distL="0" distR="0">
            <wp:extent cx="1190625" cy="495300"/>
            <wp:effectExtent l="19050" t="0" r="9525" b="0"/>
            <wp:docPr id="1" name="Image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images.jpg"/>
                    <pic:cNvPicPr>
                      <a:picLocks noChangeAspect="1" noChangeArrowheads="1"/>
                    </pic:cNvPicPr>
                  </pic:nvPicPr>
                  <pic:blipFill>
                    <a:blip r:embed="rId4" cstate="print"/>
                    <a:srcRect/>
                    <a:stretch>
                      <a:fillRect/>
                    </a:stretch>
                  </pic:blipFill>
                  <pic:spPr bwMode="auto">
                    <a:xfrm>
                      <a:off x="0" y="0"/>
                      <a:ext cx="1190625" cy="495300"/>
                    </a:xfrm>
                    <a:prstGeom prst="rect">
                      <a:avLst/>
                    </a:prstGeom>
                    <a:noFill/>
                    <a:ln w="9525">
                      <a:noFill/>
                      <a:miter lim="800000"/>
                      <a:headEnd/>
                      <a:tailEnd/>
                    </a:ln>
                  </pic:spPr>
                </pic:pic>
              </a:graphicData>
            </a:graphic>
          </wp:inline>
        </w:drawing>
      </w:r>
    </w:p>
    <w:p w:rsidR="007C1288" w:rsidRDefault="007C1288" w:rsidP="007C1288">
      <w:pPr>
        <w:jc w:val="center"/>
      </w:pPr>
    </w:p>
    <w:p w:rsidR="007C1288" w:rsidRDefault="007C1288" w:rsidP="007C1288">
      <w:pPr>
        <w:jc w:val="center"/>
      </w:pPr>
    </w:p>
    <w:p w:rsidR="007C1288" w:rsidRDefault="007C1288" w:rsidP="007C1288">
      <w:pPr>
        <w:jc w:val="center"/>
      </w:pPr>
    </w:p>
    <w:p w:rsidR="007C1288" w:rsidRDefault="007C1288" w:rsidP="007C1288">
      <w:pPr>
        <w:jc w:val="center"/>
      </w:pPr>
    </w:p>
    <w:p w:rsidR="007C1288" w:rsidRDefault="007C1288" w:rsidP="007C1288">
      <w:pPr>
        <w:jc w:val="center"/>
        <w:rPr>
          <w:sz w:val="28"/>
          <w:szCs w:val="28"/>
        </w:rPr>
      </w:pPr>
      <w:r>
        <w:rPr>
          <w:sz w:val="28"/>
          <w:szCs w:val="28"/>
        </w:rPr>
        <w:t>Les Probabilités</w:t>
      </w:r>
    </w:p>
    <w:p w:rsidR="00262019" w:rsidRPr="00262019" w:rsidRDefault="00262019" w:rsidP="007C1288">
      <w:pPr>
        <w:jc w:val="center"/>
        <w:rPr>
          <w:i/>
          <w:sz w:val="28"/>
          <w:szCs w:val="28"/>
        </w:rPr>
      </w:pPr>
      <w:r w:rsidRPr="00262019">
        <w:rPr>
          <w:i/>
          <w:sz w:val="28"/>
          <w:szCs w:val="28"/>
        </w:rPr>
        <w:t>Texte accompagnateur</w:t>
      </w:r>
    </w:p>
    <w:p w:rsidR="007C1288" w:rsidRDefault="007C1288" w:rsidP="007C1288">
      <w:pPr>
        <w:jc w:val="center"/>
      </w:pPr>
    </w:p>
    <w:p w:rsidR="007C1288" w:rsidRDefault="007C1288" w:rsidP="007C1288">
      <w:pPr>
        <w:jc w:val="center"/>
      </w:pPr>
    </w:p>
    <w:p w:rsidR="007C1288" w:rsidRDefault="007C1288" w:rsidP="007C1288">
      <w:pPr>
        <w:jc w:val="center"/>
      </w:pPr>
    </w:p>
    <w:p w:rsidR="007C1288" w:rsidRDefault="007C1288" w:rsidP="007C1288">
      <w:pPr>
        <w:jc w:val="center"/>
      </w:pPr>
    </w:p>
    <w:p w:rsidR="007C1288" w:rsidRDefault="007C1288" w:rsidP="007C1288">
      <w:pPr>
        <w:jc w:val="center"/>
      </w:pPr>
    </w:p>
    <w:p w:rsidR="007C1288" w:rsidRPr="00522B6B" w:rsidRDefault="007C1288" w:rsidP="007C1288">
      <w:pPr>
        <w:jc w:val="center"/>
      </w:pPr>
      <w:r w:rsidRPr="00522B6B">
        <w:t>Travail présenté à</w:t>
      </w:r>
    </w:p>
    <w:p w:rsidR="007C1288" w:rsidRPr="00522B6B" w:rsidRDefault="007C1288" w:rsidP="007C1288">
      <w:pPr>
        <w:jc w:val="center"/>
        <w:rPr>
          <w:b/>
        </w:rPr>
      </w:pPr>
      <w:r>
        <w:rPr>
          <w:b/>
        </w:rPr>
        <w:t>Monsieur André Boileau</w:t>
      </w:r>
    </w:p>
    <w:p w:rsidR="007C1288" w:rsidRPr="00522B6B" w:rsidRDefault="007C1288" w:rsidP="007C1288">
      <w:pPr>
        <w:jc w:val="center"/>
      </w:pPr>
    </w:p>
    <w:p w:rsidR="007C1288" w:rsidRDefault="007C1288" w:rsidP="007C1288">
      <w:pPr>
        <w:jc w:val="center"/>
      </w:pPr>
    </w:p>
    <w:p w:rsidR="007C1288" w:rsidRDefault="007C1288" w:rsidP="007C1288">
      <w:pPr>
        <w:jc w:val="center"/>
      </w:pPr>
    </w:p>
    <w:p w:rsidR="007C1288" w:rsidRPr="00522B6B" w:rsidRDefault="007C1288" w:rsidP="007C1288">
      <w:pPr>
        <w:jc w:val="center"/>
      </w:pPr>
    </w:p>
    <w:p w:rsidR="007C1288" w:rsidRPr="00522B6B" w:rsidRDefault="007C1288" w:rsidP="007C1288">
      <w:pPr>
        <w:jc w:val="center"/>
      </w:pPr>
    </w:p>
    <w:p w:rsidR="007C1288" w:rsidRPr="00522B6B" w:rsidRDefault="007C1288" w:rsidP="007C1288">
      <w:pPr>
        <w:jc w:val="center"/>
      </w:pPr>
      <w:r w:rsidRPr="00522B6B">
        <w:t>Dans le cadre du cours</w:t>
      </w:r>
    </w:p>
    <w:p w:rsidR="007C1288" w:rsidRPr="00522B6B" w:rsidRDefault="007C1288" w:rsidP="007C1288">
      <w:pPr>
        <w:jc w:val="center"/>
        <w:rPr>
          <w:b/>
        </w:rPr>
      </w:pPr>
      <w:r>
        <w:rPr>
          <w:b/>
        </w:rPr>
        <w:t>MAT 4812</w:t>
      </w:r>
    </w:p>
    <w:p w:rsidR="007C1288" w:rsidRPr="00522B6B" w:rsidRDefault="007C1288" w:rsidP="007C1288">
      <w:pPr>
        <w:jc w:val="center"/>
        <w:rPr>
          <w:b/>
        </w:rPr>
      </w:pPr>
      <w:r>
        <w:rPr>
          <w:b/>
        </w:rPr>
        <w:t>Session hiver 2012</w:t>
      </w:r>
    </w:p>
    <w:p w:rsidR="007C1288" w:rsidRPr="00522B6B" w:rsidRDefault="007C1288" w:rsidP="007C1288">
      <w:pPr>
        <w:jc w:val="center"/>
        <w:rPr>
          <w:b/>
        </w:rPr>
      </w:pPr>
    </w:p>
    <w:p w:rsidR="007C1288" w:rsidRPr="00522B6B" w:rsidRDefault="007C1288" w:rsidP="007C1288">
      <w:pPr>
        <w:jc w:val="center"/>
        <w:rPr>
          <w:b/>
        </w:rPr>
      </w:pPr>
    </w:p>
    <w:p w:rsidR="007C1288" w:rsidRDefault="007C1288" w:rsidP="007C1288">
      <w:pPr>
        <w:jc w:val="center"/>
        <w:rPr>
          <w:b/>
        </w:rPr>
      </w:pPr>
    </w:p>
    <w:p w:rsidR="007C1288" w:rsidRDefault="007C1288" w:rsidP="007C1288">
      <w:pPr>
        <w:jc w:val="center"/>
        <w:rPr>
          <w:b/>
        </w:rPr>
      </w:pPr>
    </w:p>
    <w:p w:rsidR="007C1288" w:rsidRPr="00522B6B" w:rsidRDefault="007C1288" w:rsidP="007C1288">
      <w:pPr>
        <w:jc w:val="center"/>
        <w:rPr>
          <w:b/>
        </w:rPr>
      </w:pPr>
    </w:p>
    <w:p w:rsidR="007C1288" w:rsidRPr="00522B6B" w:rsidRDefault="007C1288" w:rsidP="007C1288">
      <w:pPr>
        <w:jc w:val="center"/>
        <w:rPr>
          <w:b/>
        </w:rPr>
      </w:pPr>
    </w:p>
    <w:p w:rsidR="007C1288" w:rsidRPr="00522B6B" w:rsidRDefault="007C1288" w:rsidP="007C1288">
      <w:pPr>
        <w:jc w:val="center"/>
      </w:pPr>
      <w:r w:rsidRPr="00522B6B">
        <w:t>Par</w:t>
      </w:r>
    </w:p>
    <w:p w:rsidR="007C1288" w:rsidRPr="003B6E8F" w:rsidRDefault="007C1288" w:rsidP="007C1288">
      <w:pPr>
        <w:jc w:val="center"/>
        <w:rPr>
          <w:b/>
          <w:sz w:val="28"/>
          <w:szCs w:val="28"/>
        </w:rPr>
      </w:pPr>
      <w:r w:rsidRPr="003B6E8F">
        <w:rPr>
          <w:b/>
          <w:sz w:val="28"/>
          <w:szCs w:val="28"/>
        </w:rPr>
        <w:t>BIRON, Alexandre</w:t>
      </w:r>
    </w:p>
    <w:p w:rsidR="007C1288" w:rsidRDefault="007C1288" w:rsidP="007C1288">
      <w:pPr>
        <w:jc w:val="center"/>
        <w:rPr>
          <w:b/>
          <w:sz w:val="28"/>
          <w:szCs w:val="28"/>
        </w:rPr>
      </w:pPr>
      <w:r>
        <w:rPr>
          <w:b/>
          <w:sz w:val="28"/>
          <w:szCs w:val="28"/>
        </w:rPr>
        <w:t>MÉTHOT, Sébastien</w:t>
      </w:r>
    </w:p>
    <w:p w:rsidR="007C1288" w:rsidRDefault="007C1288" w:rsidP="007C1288">
      <w:pPr>
        <w:jc w:val="center"/>
        <w:rPr>
          <w:b/>
          <w:sz w:val="28"/>
          <w:szCs w:val="28"/>
        </w:rPr>
      </w:pPr>
    </w:p>
    <w:p w:rsidR="007C1288" w:rsidRDefault="007C1288" w:rsidP="007C1288">
      <w:pPr>
        <w:jc w:val="center"/>
        <w:rPr>
          <w:b/>
          <w:sz w:val="28"/>
          <w:szCs w:val="28"/>
        </w:rPr>
      </w:pPr>
    </w:p>
    <w:p w:rsidR="007C1288" w:rsidRPr="00522B6B" w:rsidRDefault="007C1288" w:rsidP="007C1288">
      <w:pPr>
        <w:jc w:val="center"/>
        <w:rPr>
          <w:b/>
        </w:rPr>
      </w:pPr>
    </w:p>
    <w:p w:rsidR="007C1288" w:rsidRPr="00522B6B" w:rsidRDefault="007C1288" w:rsidP="007C1288">
      <w:pPr>
        <w:jc w:val="center"/>
      </w:pPr>
      <w:r w:rsidRPr="00522B6B">
        <w:t>Baccalauréat en enseignement secondaire</w:t>
      </w:r>
    </w:p>
    <w:p w:rsidR="007C1288" w:rsidRPr="00522B6B" w:rsidRDefault="007C1288" w:rsidP="007C1288">
      <w:pPr>
        <w:jc w:val="center"/>
      </w:pPr>
      <w:r w:rsidRPr="00522B6B">
        <w:t>Concentration mathématiques</w:t>
      </w:r>
    </w:p>
    <w:p w:rsidR="007C1288" w:rsidRPr="00522B6B" w:rsidRDefault="007C1288" w:rsidP="007C1288">
      <w:pPr>
        <w:jc w:val="center"/>
        <w:rPr>
          <w:b/>
        </w:rPr>
      </w:pPr>
    </w:p>
    <w:p w:rsidR="007C1288" w:rsidRDefault="007C1288" w:rsidP="007C1288">
      <w:pPr>
        <w:jc w:val="center"/>
        <w:rPr>
          <w:b/>
        </w:rPr>
      </w:pPr>
    </w:p>
    <w:p w:rsidR="007C1288" w:rsidRDefault="007C1288" w:rsidP="007C1288">
      <w:pPr>
        <w:jc w:val="center"/>
        <w:rPr>
          <w:b/>
        </w:rPr>
      </w:pPr>
    </w:p>
    <w:p w:rsidR="007C1288" w:rsidRDefault="007C1288" w:rsidP="007C1288">
      <w:pPr>
        <w:jc w:val="center"/>
        <w:rPr>
          <w:b/>
        </w:rPr>
      </w:pPr>
    </w:p>
    <w:p w:rsidR="007C1288" w:rsidRDefault="007C1288" w:rsidP="007C1288">
      <w:pPr>
        <w:spacing w:after="200" w:line="276" w:lineRule="auto"/>
        <w:jc w:val="center"/>
        <w:rPr>
          <w:color w:val="2A2A2A"/>
        </w:rPr>
      </w:pPr>
      <w:r>
        <w:rPr>
          <w:b/>
        </w:rPr>
        <w:t>2012-11-04</w:t>
      </w:r>
      <w:r>
        <w:rPr>
          <w:color w:val="2A2A2A"/>
        </w:rPr>
        <w:br w:type="page"/>
      </w:r>
    </w:p>
    <w:p w:rsidR="007C1288" w:rsidRPr="00DC2F6B" w:rsidRDefault="007C1288" w:rsidP="007C1288">
      <w:pPr>
        <w:spacing w:line="360" w:lineRule="auto"/>
        <w:jc w:val="center"/>
        <w:rPr>
          <w:b/>
          <w:color w:val="2A2A2A"/>
          <w:sz w:val="22"/>
          <w:szCs w:val="22"/>
          <w:u w:val="single"/>
        </w:rPr>
      </w:pPr>
      <w:r w:rsidRPr="00DC2F6B">
        <w:rPr>
          <w:b/>
          <w:color w:val="2A2A2A"/>
          <w:sz w:val="22"/>
          <w:szCs w:val="22"/>
          <w:u w:val="single"/>
        </w:rPr>
        <w:lastRenderedPageBreak/>
        <w:t>Introduction</w:t>
      </w:r>
    </w:p>
    <w:p w:rsidR="007C1288" w:rsidRPr="00DC2F6B" w:rsidRDefault="007C1288" w:rsidP="007C1288">
      <w:pPr>
        <w:spacing w:line="360" w:lineRule="auto"/>
        <w:jc w:val="center"/>
        <w:rPr>
          <w:color w:val="2A2A2A"/>
          <w:sz w:val="22"/>
          <w:szCs w:val="22"/>
        </w:rPr>
      </w:pPr>
    </w:p>
    <w:p w:rsidR="007C1288" w:rsidRPr="00DC2F6B" w:rsidRDefault="007C1288" w:rsidP="007C1288">
      <w:pPr>
        <w:spacing w:line="360" w:lineRule="auto"/>
        <w:ind w:firstLine="720"/>
        <w:jc w:val="both"/>
        <w:rPr>
          <w:color w:val="2A2A2A"/>
          <w:sz w:val="22"/>
          <w:szCs w:val="22"/>
        </w:rPr>
      </w:pPr>
      <w:r w:rsidRPr="00DC2F6B">
        <w:rPr>
          <w:color w:val="2A2A2A"/>
          <w:sz w:val="22"/>
          <w:szCs w:val="22"/>
        </w:rPr>
        <w:t>Nous avons conçu une page web traitant sur les mathématiques au secondaire, plus précisément sur les probabilités.  Sur le plan global, ce site serait d’avantage élaboré afin de traiter tous les sujets abordés par les mathématiques dans l’enseignement au secondaire.  Par faute de temps, nous nous sommes tout d’abord consacré aux probabilités.</w:t>
      </w:r>
    </w:p>
    <w:p w:rsidR="007C1288" w:rsidRPr="00DC2F6B" w:rsidRDefault="007C1288" w:rsidP="007C1288">
      <w:pPr>
        <w:spacing w:line="360" w:lineRule="auto"/>
        <w:rPr>
          <w:color w:val="2A2A2A"/>
          <w:sz w:val="22"/>
          <w:szCs w:val="22"/>
        </w:rPr>
      </w:pPr>
    </w:p>
    <w:p w:rsidR="007C1288" w:rsidRPr="00DC2F6B" w:rsidRDefault="007C1288" w:rsidP="007C1288">
      <w:pPr>
        <w:spacing w:line="360" w:lineRule="auto"/>
        <w:ind w:firstLine="720"/>
        <w:jc w:val="both"/>
        <w:rPr>
          <w:color w:val="2A2A2A"/>
          <w:sz w:val="22"/>
          <w:szCs w:val="22"/>
        </w:rPr>
      </w:pPr>
      <w:r w:rsidRPr="00DC2F6B">
        <w:rPr>
          <w:color w:val="2A2A2A"/>
          <w:sz w:val="22"/>
          <w:szCs w:val="22"/>
        </w:rPr>
        <w:t xml:space="preserve">Ce site est principalement dédié pour les élèves du secondaire.  Cette clientèle sera alors en mesure de retrouver toutes les informations concernant les probabilités.  Dans un premier lieu, chacun des termes sont définis et appuyés par des exemples.  De plus, pour certaines sections, nous avons aussi ajouté des programmes utilisant </w:t>
      </w:r>
      <w:proofErr w:type="spellStart"/>
      <w:r w:rsidRPr="00DC2F6B">
        <w:rPr>
          <w:color w:val="2A2A2A"/>
          <w:sz w:val="22"/>
          <w:szCs w:val="22"/>
        </w:rPr>
        <w:t>visual</w:t>
      </w:r>
      <w:proofErr w:type="spellEnd"/>
      <w:r w:rsidRPr="00DC2F6B">
        <w:rPr>
          <w:color w:val="2A2A2A"/>
          <w:sz w:val="22"/>
          <w:szCs w:val="22"/>
        </w:rPr>
        <w:t xml:space="preserve"> basic sur Excel afin d’aider et de laisser expérimenter l’élève.  Par exemple, nous avons conçu un programme permettant de construire un arbre des probabilités avec ou sans remise. Ces petits programmes ou simulation ont pour but de simuler rapidement plusieurs expériences aléatoires afin d’aider l’élève à comprendre.</w:t>
      </w:r>
    </w:p>
    <w:p w:rsidR="007C1288" w:rsidRPr="00DC2F6B" w:rsidRDefault="007C1288" w:rsidP="007C1288">
      <w:pPr>
        <w:spacing w:line="360" w:lineRule="auto"/>
        <w:ind w:firstLine="720"/>
        <w:jc w:val="both"/>
        <w:rPr>
          <w:color w:val="2A2A2A"/>
          <w:sz w:val="22"/>
          <w:szCs w:val="22"/>
        </w:rPr>
      </w:pPr>
    </w:p>
    <w:p w:rsidR="007C1288" w:rsidRPr="00DC2F6B" w:rsidRDefault="007C1288" w:rsidP="007C1288">
      <w:pPr>
        <w:spacing w:line="360" w:lineRule="auto"/>
        <w:ind w:firstLine="720"/>
        <w:jc w:val="both"/>
        <w:rPr>
          <w:color w:val="2A2A2A"/>
          <w:sz w:val="22"/>
          <w:szCs w:val="22"/>
        </w:rPr>
      </w:pPr>
      <w:r w:rsidRPr="00DC2F6B">
        <w:rPr>
          <w:color w:val="2A2A2A"/>
          <w:sz w:val="22"/>
          <w:szCs w:val="22"/>
        </w:rPr>
        <w:t>Chaque notion abordée comprend un ou plusieurs exemples afin d’aider l’élève à bien comprendre. Comme la plupart des exercices utilisés font référence aux jeux de cartes, au lancer d’un dé ou encore au lancer d’une pièce de monnaie, nous trouvions important d’illustrer ces trois contextes sur notre page d’accueil afin que tous partent avec les mêmes connaissances.</w:t>
      </w:r>
    </w:p>
    <w:p w:rsidR="00262019" w:rsidRPr="00DC2F6B" w:rsidRDefault="00262019" w:rsidP="007C1288">
      <w:pPr>
        <w:spacing w:line="360" w:lineRule="auto"/>
        <w:ind w:firstLine="720"/>
        <w:jc w:val="both"/>
        <w:rPr>
          <w:color w:val="2A2A2A"/>
          <w:sz w:val="22"/>
          <w:szCs w:val="22"/>
        </w:rPr>
      </w:pPr>
    </w:p>
    <w:p w:rsidR="00262019" w:rsidRPr="00DC2F6B" w:rsidRDefault="00262019" w:rsidP="007C1288">
      <w:pPr>
        <w:spacing w:line="360" w:lineRule="auto"/>
        <w:ind w:firstLine="720"/>
        <w:jc w:val="both"/>
        <w:rPr>
          <w:color w:val="2A2A2A"/>
          <w:sz w:val="22"/>
          <w:szCs w:val="22"/>
        </w:rPr>
      </w:pPr>
      <w:r w:rsidRPr="00DC2F6B">
        <w:rPr>
          <w:color w:val="2A2A2A"/>
          <w:sz w:val="22"/>
          <w:szCs w:val="22"/>
        </w:rPr>
        <w:t xml:space="preserve">Les prochaines lignes se veulent un bref aperçu des raisons qui nous ont </w:t>
      </w:r>
      <w:proofErr w:type="gramStart"/>
      <w:r w:rsidRPr="00DC2F6B">
        <w:rPr>
          <w:color w:val="2A2A2A"/>
          <w:sz w:val="22"/>
          <w:szCs w:val="22"/>
        </w:rPr>
        <w:t>poussé</w:t>
      </w:r>
      <w:proofErr w:type="gramEnd"/>
      <w:r w:rsidRPr="00DC2F6B">
        <w:rPr>
          <w:color w:val="2A2A2A"/>
          <w:sz w:val="22"/>
          <w:szCs w:val="22"/>
        </w:rPr>
        <w:t xml:space="preserve"> à réaliser le site tel que nous l’avons conçu.</w:t>
      </w:r>
    </w:p>
    <w:p w:rsidR="007C1288" w:rsidRPr="00DC2F6B" w:rsidRDefault="007C1288" w:rsidP="007C1288">
      <w:pPr>
        <w:spacing w:line="360" w:lineRule="auto"/>
        <w:jc w:val="both"/>
        <w:rPr>
          <w:color w:val="2A2A2A"/>
          <w:sz w:val="22"/>
          <w:szCs w:val="22"/>
        </w:rPr>
      </w:pPr>
    </w:p>
    <w:p w:rsidR="00262019" w:rsidRPr="00DC2F6B" w:rsidRDefault="00262019">
      <w:pPr>
        <w:spacing w:after="200" w:line="276" w:lineRule="auto"/>
        <w:rPr>
          <w:b/>
          <w:color w:val="2A2A2A"/>
          <w:sz w:val="22"/>
          <w:szCs w:val="22"/>
          <w:u w:val="single"/>
        </w:rPr>
      </w:pPr>
      <w:r w:rsidRPr="00DC2F6B">
        <w:rPr>
          <w:b/>
          <w:color w:val="2A2A2A"/>
          <w:sz w:val="22"/>
          <w:szCs w:val="22"/>
          <w:u w:val="single"/>
        </w:rPr>
        <w:br w:type="page"/>
      </w:r>
    </w:p>
    <w:p w:rsidR="007C1288" w:rsidRPr="00DC2F6B" w:rsidRDefault="007C1288" w:rsidP="007C1288">
      <w:pPr>
        <w:spacing w:line="360" w:lineRule="auto"/>
        <w:jc w:val="both"/>
        <w:rPr>
          <w:b/>
          <w:color w:val="2A2A2A"/>
          <w:sz w:val="22"/>
          <w:szCs w:val="22"/>
          <w:u w:val="single"/>
        </w:rPr>
      </w:pPr>
      <w:r w:rsidRPr="00DC2F6B">
        <w:rPr>
          <w:b/>
          <w:color w:val="2A2A2A"/>
          <w:sz w:val="22"/>
          <w:szCs w:val="22"/>
          <w:u w:val="single"/>
        </w:rPr>
        <w:lastRenderedPageBreak/>
        <w:t>Les définitions</w:t>
      </w:r>
    </w:p>
    <w:p w:rsidR="007C1288" w:rsidRPr="00DC2F6B" w:rsidRDefault="007C1288" w:rsidP="007C1288">
      <w:pPr>
        <w:spacing w:line="360" w:lineRule="auto"/>
        <w:jc w:val="both"/>
        <w:rPr>
          <w:color w:val="2A2A2A"/>
          <w:sz w:val="22"/>
          <w:szCs w:val="22"/>
        </w:rPr>
      </w:pPr>
    </w:p>
    <w:p w:rsidR="007C1288" w:rsidRPr="00DC2F6B" w:rsidRDefault="007C1288" w:rsidP="007C1288">
      <w:pPr>
        <w:spacing w:line="360" w:lineRule="auto"/>
        <w:ind w:firstLine="720"/>
        <w:jc w:val="both"/>
        <w:rPr>
          <w:color w:val="2A2A2A"/>
          <w:sz w:val="22"/>
          <w:szCs w:val="22"/>
        </w:rPr>
      </w:pPr>
      <w:r w:rsidRPr="00DC2F6B">
        <w:rPr>
          <w:color w:val="2A2A2A"/>
          <w:sz w:val="22"/>
          <w:szCs w:val="22"/>
        </w:rPr>
        <w:t>Les définitions sont abordées dans l’ordre chronologique de l’enseignement des probabilités.  Nous y retrouvons alors tous les termes utilisés permettant de bien comprendre ce qu’ils représentent.  Les exemples renforcent la compréhension de ceux-ci.  Il faut noter que les probabilités utilisent un langage relativement complexe, d’où l’importance de bien maîtriser les termes.</w:t>
      </w:r>
    </w:p>
    <w:p w:rsidR="007C1288" w:rsidRPr="00DC2F6B" w:rsidRDefault="007C1288" w:rsidP="007C1288">
      <w:pPr>
        <w:spacing w:line="360" w:lineRule="auto"/>
        <w:jc w:val="both"/>
        <w:rPr>
          <w:color w:val="2A2A2A"/>
          <w:sz w:val="22"/>
          <w:szCs w:val="22"/>
        </w:rPr>
      </w:pPr>
    </w:p>
    <w:p w:rsidR="007C1288" w:rsidRPr="00DC2F6B" w:rsidRDefault="007C1288" w:rsidP="007C1288">
      <w:pPr>
        <w:spacing w:line="360" w:lineRule="auto"/>
        <w:jc w:val="both"/>
        <w:rPr>
          <w:b/>
          <w:color w:val="2A2A2A"/>
          <w:sz w:val="22"/>
          <w:szCs w:val="22"/>
          <w:u w:val="single"/>
        </w:rPr>
      </w:pPr>
      <w:r w:rsidRPr="00DC2F6B">
        <w:rPr>
          <w:b/>
          <w:color w:val="2A2A2A"/>
          <w:sz w:val="22"/>
          <w:szCs w:val="22"/>
          <w:u w:val="single"/>
        </w:rPr>
        <w:t>Le diagramme en arbre</w:t>
      </w:r>
    </w:p>
    <w:p w:rsidR="007C1288" w:rsidRPr="00DC2F6B" w:rsidRDefault="007C1288" w:rsidP="007C1288">
      <w:pPr>
        <w:tabs>
          <w:tab w:val="left" w:pos="1140"/>
        </w:tabs>
        <w:spacing w:line="360" w:lineRule="auto"/>
        <w:jc w:val="both"/>
        <w:rPr>
          <w:b/>
          <w:color w:val="2A2A2A"/>
          <w:sz w:val="22"/>
          <w:szCs w:val="22"/>
          <w:u w:val="single"/>
        </w:rPr>
      </w:pPr>
    </w:p>
    <w:p w:rsidR="007C1288" w:rsidRPr="00DC2F6B" w:rsidRDefault="007C1288" w:rsidP="007C1288">
      <w:pPr>
        <w:tabs>
          <w:tab w:val="left" w:pos="1140"/>
        </w:tabs>
        <w:spacing w:line="360" w:lineRule="auto"/>
        <w:jc w:val="both"/>
        <w:rPr>
          <w:color w:val="2A2A2A"/>
          <w:sz w:val="22"/>
          <w:szCs w:val="22"/>
        </w:rPr>
      </w:pPr>
      <w:r w:rsidRPr="00DC2F6B">
        <w:rPr>
          <w:color w:val="2A2A2A"/>
          <w:sz w:val="22"/>
          <w:szCs w:val="22"/>
        </w:rPr>
        <w:tab/>
        <w:t xml:space="preserve">Nous trouvions approprié de faire un programme permettant de construire des arbres afin que l’élève puisse en construire plusieurs et ainsi maitriser cet outil car il est indispensable afin de résoudre les problèmes légèrement plus complexes qui </w:t>
      </w:r>
      <w:proofErr w:type="spellStart"/>
      <w:r w:rsidRPr="00DC2F6B">
        <w:rPr>
          <w:color w:val="2A2A2A"/>
          <w:sz w:val="22"/>
          <w:szCs w:val="22"/>
        </w:rPr>
        <w:t>nécéssitent</w:t>
      </w:r>
      <w:proofErr w:type="spellEnd"/>
      <w:r w:rsidRPr="00DC2F6B">
        <w:rPr>
          <w:color w:val="2A2A2A"/>
          <w:sz w:val="22"/>
          <w:szCs w:val="22"/>
        </w:rPr>
        <w:t xml:space="preserve"> des formules que l’élève ne maitrise pas au niveau du secondaire. De plus, nous avons également mis un lien vers </w:t>
      </w:r>
      <w:proofErr w:type="gramStart"/>
      <w:r w:rsidRPr="00DC2F6B">
        <w:rPr>
          <w:color w:val="2A2A2A"/>
          <w:sz w:val="22"/>
          <w:szCs w:val="22"/>
        </w:rPr>
        <w:t>un</w:t>
      </w:r>
      <w:proofErr w:type="gramEnd"/>
      <w:r w:rsidRPr="00DC2F6B">
        <w:rPr>
          <w:color w:val="2A2A2A"/>
          <w:sz w:val="22"/>
          <w:szCs w:val="22"/>
        </w:rPr>
        <w:t xml:space="preserve"> vidéo qui utilise justement le diagramme en arbre afin de résoudre un problème et démontrer ainsi l’utilité de prendre le temps de faire un arbre des probabilités.</w:t>
      </w:r>
    </w:p>
    <w:p w:rsidR="007C1288" w:rsidRPr="00DC2F6B" w:rsidRDefault="007C1288" w:rsidP="007C1288">
      <w:pPr>
        <w:spacing w:line="360" w:lineRule="auto"/>
        <w:jc w:val="both"/>
        <w:rPr>
          <w:b/>
          <w:color w:val="2A2A2A"/>
          <w:sz w:val="22"/>
          <w:szCs w:val="22"/>
          <w:u w:val="single"/>
        </w:rPr>
      </w:pPr>
    </w:p>
    <w:p w:rsidR="007C1288" w:rsidRPr="00DC2F6B" w:rsidRDefault="007C1288" w:rsidP="007C1288">
      <w:pPr>
        <w:spacing w:line="360" w:lineRule="auto"/>
        <w:jc w:val="both"/>
        <w:rPr>
          <w:b/>
          <w:color w:val="2A2A2A"/>
          <w:sz w:val="22"/>
          <w:szCs w:val="22"/>
          <w:u w:val="single"/>
        </w:rPr>
      </w:pPr>
      <w:r w:rsidRPr="00DC2F6B">
        <w:rPr>
          <w:b/>
          <w:color w:val="2A2A2A"/>
          <w:sz w:val="22"/>
          <w:szCs w:val="22"/>
          <w:u w:val="single"/>
        </w:rPr>
        <w:t>Probabilité géométrique</w:t>
      </w:r>
    </w:p>
    <w:p w:rsidR="007C1288" w:rsidRPr="00DC2F6B" w:rsidRDefault="007C1288" w:rsidP="007C1288">
      <w:pPr>
        <w:spacing w:line="360" w:lineRule="auto"/>
        <w:jc w:val="both"/>
        <w:rPr>
          <w:b/>
          <w:color w:val="2A2A2A"/>
          <w:sz w:val="22"/>
          <w:szCs w:val="22"/>
          <w:u w:val="single"/>
        </w:rPr>
      </w:pPr>
    </w:p>
    <w:p w:rsidR="007C1288" w:rsidRPr="00DC2F6B" w:rsidRDefault="007C1288" w:rsidP="007C1288">
      <w:pPr>
        <w:spacing w:line="360" w:lineRule="auto"/>
        <w:ind w:firstLine="720"/>
        <w:jc w:val="both"/>
        <w:rPr>
          <w:color w:val="2A2A2A"/>
          <w:sz w:val="22"/>
          <w:szCs w:val="22"/>
        </w:rPr>
      </w:pPr>
      <w:r w:rsidRPr="00DC2F6B">
        <w:rPr>
          <w:color w:val="2A2A2A"/>
          <w:sz w:val="22"/>
          <w:szCs w:val="22"/>
        </w:rPr>
        <w:t xml:space="preserve">La simulation proposée permet à l’élève de choisir ses propres donnés de la surface, de la cible et du nombre de simulation.  De plus, il y retrouve un tableau lui permettant de comparer la probabilité théorique avec la probabilité fréquentielle.  Ceci fait alors un rappel sur ces deux types de probabilité, et renforci le fait que plus </w:t>
      </w:r>
      <w:proofErr w:type="gramStart"/>
      <w:r w:rsidRPr="00DC2F6B">
        <w:rPr>
          <w:color w:val="2A2A2A"/>
          <w:sz w:val="22"/>
          <w:szCs w:val="22"/>
        </w:rPr>
        <w:t>l’expérience est</w:t>
      </w:r>
      <w:proofErr w:type="gramEnd"/>
      <w:r w:rsidRPr="00DC2F6B">
        <w:rPr>
          <w:color w:val="2A2A2A"/>
          <w:sz w:val="22"/>
          <w:szCs w:val="22"/>
        </w:rPr>
        <w:t xml:space="preserve"> réalisée de fois, plus cette probabilité se rapproche de la probabilité théorique.</w:t>
      </w:r>
    </w:p>
    <w:p w:rsidR="00262019" w:rsidRPr="00DC2F6B" w:rsidRDefault="00262019" w:rsidP="00262019">
      <w:pPr>
        <w:spacing w:line="360" w:lineRule="auto"/>
        <w:jc w:val="both"/>
        <w:rPr>
          <w:b/>
          <w:color w:val="2A2A2A"/>
          <w:sz w:val="22"/>
          <w:szCs w:val="22"/>
          <w:u w:val="single"/>
        </w:rPr>
      </w:pPr>
    </w:p>
    <w:p w:rsidR="00262019" w:rsidRPr="00DC2F6B" w:rsidRDefault="00262019" w:rsidP="00DC2F6B">
      <w:pPr>
        <w:spacing w:after="200" w:line="276" w:lineRule="auto"/>
        <w:rPr>
          <w:b/>
          <w:color w:val="2A2A2A"/>
          <w:sz w:val="22"/>
          <w:szCs w:val="22"/>
          <w:u w:val="single"/>
        </w:rPr>
      </w:pPr>
      <w:r w:rsidRPr="00DC2F6B">
        <w:rPr>
          <w:b/>
          <w:color w:val="2A2A2A"/>
          <w:sz w:val="22"/>
          <w:szCs w:val="22"/>
          <w:u w:val="single"/>
        </w:rPr>
        <w:t>Ensembles et événements particulier</w:t>
      </w:r>
    </w:p>
    <w:p w:rsidR="00262019" w:rsidRPr="00DC2F6B" w:rsidRDefault="00262019" w:rsidP="00262019">
      <w:pPr>
        <w:spacing w:line="360" w:lineRule="auto"/>
        <w:jc w:val="both"/>
        <w:rPr>
          <w:color w:val="FF0000"/>
          <w:sz w:val="22"/>
          <w:szCs w:val="22"/>
        </w:rPr>
      </w:pPr>
    </w:p>
    <w:p w:rsidR="00262019" w:rsidRPr="00DC2F6B" w:rsidRDefault="00262019" w:rsidP="00262019">
      <w:pPr>
        <w:spacing w:line="360" w:lineRule="auto"/>
        <w:ind w:firstLine="720"/>
        <w:jc w:val="both"/>
        <w:rPr>
          <w:color w:val="2A2A2A"/>
          <w:sz w:val="22"/>
          <w:szCs w:val="22"/>
        </w:rPr>
      </w:pPr>
      <w:r w:rsidRPr="00DC2F6B">
        <w:rPr>
          <w:color w:val="2A2A2A"/>
          <w:sz w:val="22"/>
          <w:szCs w:val="22"/>
        </w:rPr>
        <w:t xml:space="preserve">Nous trouvions important de mentionner les événements particuliers tels que les événements improbables ou certains, mais nous jugions qu’il était préférable de le faire de façon visuelle. C’est la raison pour laquelle nous avons fait un bref rappel sur les diagrammes de </w:t>
      </w:r>
      <w:proofErr w:type="spellStart"/>
      <w:r w:rsidRPr="00DC2F6B">
        <w:rPr>
          <w:color w:val="2A2A2A"/>
          <w:sz w:val="22"/>
          <w:szCs w:val="22"/>
        </w:rPr>
        <w:t>Venn</w:t>
      </w:r>
      <w:proofErr w:type="spellEnd"/>
      <w:r w:rsidRPr="00DC2F6B">
        <w:rPr>
          <w:color w:val="2A2A2A"/>
          <w:sz w:val="22"/>
          <w:szCs w:val="22"/>
        </w:rPr>
        <w:t xml:space="preserve"> qui sont l’outil idéal afin de pouvoir illustrer divers événements.</w:t>
      </w:r>
    </w:p>
    <w:p w:rsidR="00DC2F6B" w:rsidRPr="00DC2F6B" w:rsidRDefault="00DC2F6B" w:rsidP="00262019">
      <w:pPr>
        <w:spacing w:line="360" w:lineRule="auto"/>
        <w:jc w:val="both"/>
        <w:rPr>
          <w:b/>
          <w:color w:val="2A2A2A"/>
          <w:sz w:val="22"/>
          <w:szCs w:val="22"/>
          <w:u w:val="single"/>
        </w:rPr>
      </w:pPr>
    </w:p>
    <w:p w:rsidR="00DC2F6B" w:rsidRDefault="00DC2F6B">
      <w:pPr>
        <w:spacing w:after="200" w:line="276" w:lineRule="auto"/>
        <w:rPr>
          <w:b/>
          <w:color w:val="2A2A2A"/>
          <w:sz w:val="22"/>
          <w:szCs w:val="22"/>
          <w:u w:val="single"/>
        </w:rPr>
      </w:pPr>
      <w:r>
        <w:rPr>
          <w:b/>
          <w:color w:val="2A2A2A"/>
          <w:sz w:val="22"/>
          <w:szCs w:val="22"/>
          <w:u w:val="single"/>
        </w:rPr>
        <w:br w:type="page"/>
      </w:r>
    </w:p>
    <w:p w:rsidR="00262019" w:rsidRPr="00DC2F6B" w:rsidRDefault="00262019" w:rsidP="00262019">
      <w:pPr>
        <w:spacing w:line="360" w:lineRule="auto"/>
        <w:jc w:val="both"/>
        <w:rPr>
          <w:b/>
          <w:color w:val="2A2A2A"/>
          <w:sz w:val="22"/>
          <w:szCs w:val="22"/>
          <w:u w:val="single"/>
        </w:rPr>
      </w:pPr>
      <w:r w:rsidRPr="00DC2F6B">
        <w:rPr>
          <w:b/>
          <w:color w:val="2A2A2A"/>
          <w:sz w:val="22"/>
          <w:szCs w:val="22"/>
          <w:u w:val="single"/>
        </w:rPr>
        <w:lastRenderedPageBreak/>
        <w:t>Probabilité conditionnelle</w:t>
      </w:r>
    </w:p>
    <w:p w:rsidR="00262019" w:rsidRPr="00DC2F6B" w:rsidRDefault="00262019" w:rsidP="00262019">
      <w:pPr>
        <w:spacing w:line="360" w:lineRule="auto"/>
        <w:jc w:val="both"/>
        <w:rPr>
          <w:b/>
          <w:color w:val="2A2A2A"/>
          <w:sz w:val="22"/>
          <w:szCs w:val="22"/>
          <w:u w:val="single"/>
        </w:rPr>
      </w:pPr>
    </w:p>
    <w:p w:rsidR="00262019" w:rsidRPr="00DC2F6B" w:rsidRDefault="00262019" w:rsidP="00262019">
      <w:pPr>
        <w:spacing w:line="360" w:lineRule="auto"/>
        <w:ind w:firstLine="720"/>
        <w:jc w:val="both"/>
        <w:rPr>
          <w:color w:val="2A2A2A"/>
          <w:sz w:val="22"/>
          <w:szCs w:val="22"/>
        </w:rPr>
      </w:pPr>
      <w:r w:rsidRPr="00DC2F6B">
        <w:rPr>
          <w:color w:val="2A2A2A"/>
          <w:sz w:val="22"/>
          <w:szCs w:val="22"/>
        </w:rPr>
        <w:t xml:space="preserve">Les probabilités conditionnelles, </w:t>
      </w:r>
      <w:proofErr w:type="gramStart"/>
      <w:r w:rsidRPr="00DC2F6B">
        <w:rPr>
          <w:color w:val="2A2A2A"/>
          <w:sz w:val="22"/>
          <w:szCs w:val="22"/>
        </w:rPr>
        <w:t>lorsqu’elle sont</w:t>
      </w:r>
      <w:proofErr w:type="gramEnd"/>
      <w:r w:rsidRPr="00DC2F6B">
        <w:rPr>
          <w:color w:val="2A2A2A"/>
          <w:sz w:val="22"/>
          <w:szCs w:val="22"/>
        </w:rPr>
        <w:t xml:space="preserve"> enseignées dans un cadre purement théorique, sont difficilement assimilables par les élèves de niveau secondaire. C’est la raison pour laquelle nous avons, en plus de faire la démonstration de la formule, fait des liens vers des vidéos qui illustrent la notion de probabilité conditionnelle avec des exemples simples et concrets.</w:t>
      </w:r>
    </w:p>
    <w:p w:rsidR="007C1288" w:rsidRPr="00DC2F6B" w:rsidRDefault="007C1288" w:rsidP="007C1288">
      <w:pPr>
        <w:spacing w:line="360" w:lineRule="auto"/>
        <w:jc w:val="both"/>
        <w:rPr>
          <w:color w:val="2A2A2A"/>
          <w:sz w:val="22"/>
          <w:szCs w:val="22"/>
        </w:rPr>
      </w:pPr>
    </w:p>
    <w:p w:rsidR="007C1288" w:rsidRPr="00DC2F6B" w:rsidRDefault="007C1288" w:rsidP="007C1288">
      <w:pPr>
        <w:spacing w:line="360" w:lineRule="auto"/>
        <w:jc w:val="both"/>
        <w:rPr>
          <w:b/>
          <w:color w:val="2A2A2A"/>
          <w:sz w:val="22"/>
          <w:szCs w:val="22"/>
          <w:u w:val="single"/>
        </w:rPr>
      </w:pPr>
      <w:r w:rsidRPr="00DC2F6B">
        <w:rPr>
          <w:b/>
          <w:color w:val="2A2A2A"/>
          <w:sz w:val="22"/>
          <w:szCs w:val="22"/>
          <w:u w:val="single"/>
        </w:rPr>
        <w:t>Espérance mathématique</w:t>
      </w:r>
    </w:p>
    <w:p w:rsidR="00262019" w:rsidRPr="00DC2F6B" w:rsidRDefault="00262019" w:rsidP="007C1288">
      <w:pPr>
        <w:spacing w:line="360" w:lineRule="auto"/>
        <w:jc w:val="both"/>
        <w:rPr>
          <w:color w:val="FF0000"/>
          <w:sz w:val="22"/>
          <w:szCs w:val="22"/>
        </w:rPr>
      </w:pPr>
    </w:p>
    <w:p w:rsidR="007C1288" w:rsidRPr="00DC2F6B" w:rsidRDefault="007C1288" w:rsidP="00262019">
      <w:pPr>
        <w:spacing w:line="360" w:lineRule="auto"/>
        <w:ind w:firstLine="720"/>
        <w:jc w:val="both"/>
        <w:rPr>
          <w:color w:val="2A2A2A"/>
          <w:sz w:val="22"/>
          <w:szCs w:val="22"/>
        </w:rPr>
      </w:pPr>
      <w:r w:rsidRPr="00DC2F6B">
        <w:rPr>
          <w:color w:val="2A2A2A"/>
          <w:sz w:val="22"/>
          <w:szCs w:val="22"/>
        </w:rPr>
        <w:t>Ce tableur permet aux élèves d’utiliser leurs propres donnés afin de calculer l’espérance mathématique d’un problème.  Bien entendu, l’élève doit préalablement maîtriser la notion d’espérance mathématique afin de savoir comment celle-ci ce calcul</w:t>
      </w:r>
      <w:r w:rsidR="00262019" w:rsidRPr="00DC2F6B">
        <w:rPr>
          <w:color w:val="2A2A2A"/>
          <w:sz w:val="22"/>
          <w:szCs w:val="22"/>
        </w:rPr>
        <w:t>e</w:t>
      </w:r>
      <w:r w:rsidRPr="00DC2F6B">
        <w:rPr>
          <w:color w:val="2A2A2A"/>
          <w:sz w:val="22"/>
          <w:szCs w:val="22"/>
        </w:rPr>
        <w:t xml:space="preserve">.  </w:t>
      </w:r>
      <w:r w:rsidR="00262019" w:rsidRPr="00DC2F6B">
        <w:rPr>
          <w:color w:val="2A2A2A"/>
          <w:sz w:val="22"/>
          <w:szCs w:val="22"/>
        </w:rPr>
        <w:t xml:space="preserve">Également, le détail du calcul est explicité afin que les élèves sachent quels sont les calculs effectués et ainsi être plus à même de saisir cette notion. </w:t>
      </w:r>
      <w:r w:rsidRPr="00DC2F6B">
        <w:rPr>
          <w:color w:val="2A2A2A"/>
          <w:sz w:val="22"/>
          <w:szCs w:val="22"/>
        </w:rPr>
        <w:t>De plus, nous pouvons utiliser ceci comme outil permettant aux élèves d’élaborer eux-mêmes un problème sur l’espérance mathématique et d’ensuite valider leurs réponses.</w:t>
      </w:r>
    </w:p>
    <w:p w:rsidR="00262019" w:rsidRPr="00DC2F6B" w:rsidRDefault="00262019" w:rsidP="00262019">
      <w:pPr>
        <w:spacing w:line="360" w:lineRule="auto"/>
        <w:jc w:val="both"/>
        <w:rPr>
          <w:color w:val="2A2A2A"/>
          <w:sz w:val="22"/>
          <w:szCs w:val="22"/>
        </w:rPr>
      </w:pPr>
    </w:p>
    <w:p w:rsidR="007C1288" w:rsidRPr="00DC2F6B" w:rsidRDefault="007C1288" w:rsidP="007C1288">
      <w:pPr>
        <w:spacing w:line="360" w:lineRule="auto"/>
        <w:jc w:val="both"/>
        <w:rPr>
          <w:b/>
          <w:color w:val="2A2A2A"/>
          <w:sz w:val="22"/>
          <w:szCs w:val="22"/>
          <w:u w:val="single"/>
        </w:rPr>
      </w:pPr>
      <w:proofErr w:type="spellStart"/>
      <w:r w:rsidRPr="00DC2F6B">
        <w:rPr>
          <w:b/>
          <w:color w:val="2A2A2A"/>
          <w:sz w:val="22"/>
          <w:szCs w:val="22"/>
          <w:u w:val="single"/>
        </w:rPr>
        <w:t>Monty</w:t>
      </w:r>
      <w:proofErr w:type="spellEnd"/>
      <w:r w:rsidRPr="00DC2F6B">
        <w:rPr>
          <w:b/>
          <w:color w:val="2A2A2A"/>
          <w:sz w:val="22"/>
          <w:szCs w:val="22"/>
          <w:u w:val="single"/>
        </w:rPr>
        <w:t xml:space="preserve"> Hall</w:t>
      </w:r>
    </w:p>
    <w:p w:rsidR="00DC2F6B" w:rsidRPr="00DC2F6B" w:rsidRDefault="00DC2F6B" w:rsidP="007C1288">
      <w:pPr>
        <w:spacing w:line="360" w:lineRule="auto"/>
        <w:jc w:val="both"/>
        <w:rPr>
          <w:b/>
          <w:color w:val="2A2A2A"/>
          <w:sz w:val="22"/>
          <w:szCs w:val="22"/>
          <w:u w:val="single"/>
        </w:rPr>
      </w:pPr>
    </w:p>
    <w:p w:rsidR="007C1288" w:rsidRPr="00DC2F6B" w:rsidRDefault="007C1288" w:rsidP="00DC2F6B">
      <w:pPr>
        <w:spacing w:line="360" w:lineRule="auto"/>
        <w:ind w:firstLine="720"/>
        <w:jc w:val="both"/>
        <w:rPr>
          <w:color w:val="2A2A2A"/>
          <w:sz w:val="22"/>
          <w:szCs w:val="22"/>
        </w:rPr>
      </w:pPr>
      <w:r w:rsidRPr="00DC2F6B">
        <w:rPr>
          <w:color w:val="2A2A2A"/>
          <w:sz w:val="22"/>
          <w:szCs w:val="22"/>
        </w:rPr>
        <w:t xml:space="preserve">Le paradoxe de </w:t>
      </w:r>
      <w:proofErr w:type="spellStart"/>
      <w:r w:rsidRPr="00DC2F6B">
        <w:rPr>
          <w:color w:val="2A2A2A"/>
          <w:sz w:val="22"/>
          <w:szCs w:val="22"/>
        </w:rPr>
        <w:t>Monty</w:t>
      </w:r>
      <w:proofErr w:type="spellEnd"/>
      <w:r w:rsidRPr="00DC2F6B">
        <w:rPr>
          <w:color w:val="2A2A2A"/>
          <w:sz w:val="22"/>
          <w:szCs w:val="22"/>
        </w:rPr>
        <w:t xml:space="preserve"> Hall est un paradoxe célèbre qui est contre-intuitif.  Ceci est intéressant puisqu’il nécessite une étude du problème.  De plus, le paradoxe est bien expliqué sous forme de texte, afin de comprendre les mathématiques</w:t>
      </w:r>
      <w:r w:rsidR="00DC2F6B" w:rsidRPr="00DC2F6B">
        <w:rPr>
          <w:color w:val="2A2A2A"/>
          <w:sz w:val="22"/>
          <w:szCs w:val="22"/>
        </w:rPr>
        <w:t xml:space="preserve"> </w:t>
      </w:r>
      <w:r w:rsidRPr="00DC2F6B">
        <w:rPr>
          <w:color w:val="2A2A2A"/>
          <w:sz w:val="22"/>
          <w:szCs w:val="22"/>
        </w:rPr>
        <w:t xml:space="preserve">se cachant derrière, pour ensuite proposer une simulation de ce jeu.  Ainsi, les élèves sont en mesure de comprendre ce paradoxe ainsi que de l’expérimenter.  Il sera donc en mesure de valider son hypothèse pour finalement en conclure qu’avec une simulation de partie assez élevé, nous retrouvons une probabilité de 2/3 d’obtenir le prix en changeant de porte. Finalement, nous retrouvons aussi une vidéo  (en </w:t>
      </w:r>
      <w:r w:rsidR="00DC2F6B" w:rsidRPr="00DC2F6B">
        <w:rPr>
          <w:color w:val="2A2A2A"/>
          <w:sz w:val="22"/>
          <w:szCs w:val="22"/>
        </w:rPr>
        <w:t>russe</w:t>
      </w:r>
      <w:r w:rsidRPr="00DC2F6B">
        <w:rPr>
          <w:color w:val="2A2A2A"/>
          <w:sz w:val="22"/>
          <w:szCs w:val="22"/>
        </w:rPr>
        <w:t xml:space="preserve"> malheureusement</w:t>
      </w:r>
      <w:r w:rsidR="00DC2F6B" w:rsidRPr="00DC2F6B">
        <w:rPr>
          <w:color w:val="2A2A2A"/>
          <w:sz w:val="22"/>
          <w:szCs w:val="22"/>
        </w:rPr>
        <w:t>!!!</w:t>
      </w:r>
      <w:r w:rsidRPr="00DC2F6B">
        <w:rPr>
          <w:color w:val="2A2A2A"/>
          <w:sz w:val="22"/>
          <w:szCs w:val="22"/>
        </w:rPr>
        <w:t xml:space="preserve">) qui a été produite par l’équipe de </w:t>
      </w:r>
      <w:proofErr w:type="spellStart"/>
      <w:r w:rsidRPr="00DC2F6B">
        <w:rPr>
          <w:color w:val="2A2A2A"/>
          <w:sz w:val="22"/>
          <w:szCs w:val="22"/>
        </w:rPr>
        <w:t>Myth</w:t>
      </w:r>
      <w:proofErr w:type="spellEnd"/>
      <w:r w:rsidRPr="00DC2F6B">
        <w:rPr>
          <w:color w:val="2A2A2A"/>
          <w:sz w:val="22"/>
          <w:szCs w:val="22"/>
        </w:rPr>
        <w:t xml:space="preserve"> Buster. Cette vidéo étudie ce paradoxe, tout en expliquant le raisonnement et en l’expérimentant.</w:t>
      </w:r>
      <w:r w:rsidR="00DC2F6B" w:rsidRPr="00DC2F6B">
        <w:rPr>
          <w:color w:val="2A2A2A"/>
          <w:sz w:val="22"/>
          <w:szCs w:val="22"/>
        </w:rPr>
        <w:t xml:space="preserve"> Bien que la langue soit incompréhensible à moins de parler russe, les élèves peuvent tout de même voir facilement que si nous changeons de porte, nous gagnons plus souvent.</w:t>
      </w:r>
    </w:p>
    <w:p w:rsidR="007C1288" w:rsidRPr="00DC2F6B" w:rsidRDefault="007C1288" w:rsidP="007C1288">
      <w:pPr>
        <w:spacing w:line="360" w:lineRule="auto"/>
        <w:jc w:val="both"/>
        <w:rPr>
          <w:color w:val="2A2A2A"/>
          <w:sz w:val="22"/>
          <w:szCs w:val="22"/>
        </w:rPr>
      </w:pPr>
    </w:p>
    <w:p w:rsidR="00DC2F6B" w:rsidRDefault="00DC2F6B">
      <w:pPr>
        <w:spacing w:after="200" w:line="276" w:lineRule="auto"/>
        <w:rPr>
          <w:b/>
          <w:color w:val="2A2A2A"/>
          <w:sz w:val="22"/>
          <w:szCs w:val="22"/>
          <w:u w:val="single"/>
        </w:rPr>
      </w:pPr>
      <w:r>
        <w:rPr>
          <w:b/>
          <w:color w:val="2A2A2A"/>
          <w:sz w:val="22"/>
          <w:szCs w:val="22"/>
          <w:u w:val="single"/>
        </w:rPr>
        <w:br w:type="page"/>
      </w:r>
    </w:p>
    <w:p w:rsidR="007C1288" w:rsidRPr="00DC2F6B" w:rsidRDefault="007C1288" w:rsidP="007C1288">
      <w:pPr>
        <w:spacing w:line="360" w:lineRule="auto"/>
        <w:jc w:val="both"/>
        <w:rPr>
          <w:b/>
          <w:color w:val="2A2A2A"/>
          <w:sz w:val="22"/>
          <w:szCs w:val="22"/>
          <w:u w:val="single"/>
        </w:rPr>
      </w:pPr>
      <w:r w:rsidRPr="00DC2F6B">
        <w:rPr>
          <w:b/>
          <w:color w:val="2A2A2A"/>
          <w:sz w:val="22"/>
          <w:szCs w:val="22"/>
          <w:u w:val="single"/>
        </w:rPr>
        <w:lastRenderedPageBreak/>
        <w:t>Vidéo maison sur la dépendance et l’indépendance</w:t>
      </w:r>
    </w:p>
    <w:p w:rsidR="00DC2F6B" w:rsidRPr="00DC2F6B" w:rsidRDefault="00DC2F6B" w:rsidP="007C1288">
      <w:pPr>
        <w:spacing w:line="360" w:lineRule="auto"/>
        <w:jc w:val="both"/>
        <w:rPr>
          <w:color w:val="2A2A2A"/>
          <w:sz w:val="22"/>
          <w:szCs w:val="22"/>
        </w:rPr>
      </w:pPr>
    </w:p>
    <w:p w:rsidR="007C1288" w:rsidRPr="00DC2F6B" w:rsidRDefault="007C1288" w:rsidP="00DC2F6B">
      <w:pPr>
        <w:spacing w:line="360" w:lineRule="auto"/>
        <w:ind w:firstLine="720"/>
        <w:jc w:val="both"/>
        <w:rPr>
          <w:color w:val="2A2A2A"/>
          <w:sz w:val="22"/>
          <w:szCs w:val="22"/>
        </w:rPr>
      </w:pPr>
      <w:r w:rsidRPr="00DC2F6B">
        <w:rPr>
          <w:color w:val="2A2A2A"/>
          <w:sz w:val="22"/>
          <w:szCs w:val="22"/>
        </w:rPr>
        <w:t>La dépendance et l’indépendance sont des notions difficiles pour les élèves.  Lors de l’enseignement, certains élèves pourrait nécessiter d’avantage d’explication, mais parfois la timidité les désavantages.  Ainsi, avec une vidéo explicative de cette notion, nous proposons alors à l’élève un cours privé (notons qu’il ne peut y avoir d’interaction).</w:t>
      </w:r>
    </w:p>
    <w:p w:rsidR="007C1288" w:rsidRPr="00DC2F6B" w:rsidRDefault="007C1288" w:rsidP="007C1288">
      <w:pPr>
        <w:spacing w:line="360" w:lineRule="auto"/>
        <w:jc w:val="both"/>
        <w:rPr>
          <w:color w:val="2A2A2A"/>
          <w:sz w:val="22"/>
          <w:szCs w:val="22"/>
        </w:rPr>
      </w:pPr>
    </w:p>
    <w:p w:rsidR="007C1288" w:rsidRPr="00DC2F6B" w:rsidRDefault="007C1288" w:rsidP="007C1288">
      <w:pPr>
        <w:spacing w:line="360" w:lineRule="auto"/>
        <w:jc w:val="both"/>
        <w:rPr>
          <w:b/>
          <w:color w:val="2A2A2A"/>
          <w:sz w:val="22"/>
          <w:szCs w:val="22"/>
          <w:u w:val="single"/>
        </w:rPr>
      </w:pPr>
      <w:r w:rsidRPr="00DC2F6B">
        <w:rPr>
          <w:b/>
          <w:color w:val="2A2A2A"/>
          <w:sz w:val="22"/>
          <w:szCs w:val="22"/>
          <w:u w:val="single"/>
        </w:rPr>
        <w:t>Excel</w:t>
      </w:r>
    </w:p>
    <w:p w:rsidR="00DC2F6B" w:rsidRPr="00DC2F6B" w:rsidRDefault="00DC2F6B" w:rsidP="007C1288">
      <w:pPr>
        <w:spacing w:line="360" w:lineRule="auto"/>
        <w:jc w:val="both"/>
        <w:rPr>
          <w:b/>
          <w:color w:val="2A2A2A"/>
          <w:sz w:val="22"/>
          <w:szCs w:val="22"/>
          <w:u w:val="single"/>
        </w:rPr>
      </w:pPr>
    </w:p>
    <w:p w:rsidR="007C1288" w:rsidRPr="00DC2F6B" w:rsidRDefault="007C1288" w:rsidP="00DC2F6B">
      <w:pPr>
        <w:spacing w:line="360" w:lineRule="auto"/>
        <w:ind w:firstLine="720"/>
        <w:jc w:val="both"/>
        <w:rPr>
          <w:color w:val="2A2A2A"/>
          <w:sz w:val="22"/>
          <w:szCs w:val="22"/>
        </w:rPr>
      </w:pPr>
      <w:r w:rsidRPr="00DC2F6B">
        <w:rPr>
          <w:color w:val="2A2A2A"/>
          <w:sz w:val="22"/>
          <w:szCs w:val="22"/>
        </w:rPr>
        <w:t xml:space="preserve">Les arbres de probabilités sont une représentation courante dans le monde probabiliste. Avec l’aide de ce programme, l’élève aura à sa disposition tous les outils nécessaires pour simuler un arbre des probabilités ainsi que d’y retrouver les informations nécessaires.  De plus, en manipulant ces deux fichiers (soit avec remise et sans  remise), il va pouvoir visualiser l’influence de ce paramètre.  Finalement, la compilation des données rend la compréhension beaucoup plus simple. </w:t>
      </w:r>
    </w:p>
    <w:p w:rsidR="007C1288" w:rsidRPr="00DC2F6B" w:rsidRDefault="007C1288" w:rsidP="007C1288">
      <w:pPr>
        <w:spacing w:line="360" w:lineRule="auto"/>
        <w:jc w:val="both"/>
        <w:rPr>
          <w:sz w:val="22"/>
          <w:szCs w:val="22"/>
        </w:rPr>
      </w:pPr>
    </w:p>
    <w:p w:rsidR="007C1288" w:rsidRPr="00DC2F6B" w:rsidRDefault="007C1288" w:rsidP="00DC2F6B">
      <w:pPr>
        <w:spacing w:line="360" w:lineRule="auto"/>
        <w:ind w:firstLine="720"/>
        <w:jc w:val="both"/>
        <w:rPr>
          <w:sz w:val="22"/>
          <w:szCs w:val="22"/>
        </w:rPr>
      </w:pPr>
      <w:r w:rsidRPr="00DC2F6B">
        <w:rPr>
          <w:sz w:val="22"/>
          <w:szCs w:val="22"/>
        </w:rPr>
        <w:t>De plus, nous avons inclus des liens utiles pour l’élève.  Ce sont des vidéos explicatives sur les notions en probabilité.  Ainsi, l’élève qui éprouve des difficultés sera en mesure d’avoir des ressources crédibles et intéressantes sur les notions abordées.  En cas d’absence ceci peut aussi être une ressource intéressante pour dépanner l’élève en attendant de rencontrer son professeur.</w:t>
      </w:r>
    </w:p>
    <w:sectPr w:rsidR="007C1288" w:rsidRPr="00DC2F6B">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7C1288"/>
    <w:rsid w:val="001840D5"/>
    <w:rsid w:val="00262019"/>
    <w:rsid w:val="00276E04"/>
    <w:rsid w:val="00394736"/>
    <w:rsid w:val="00697F1E"/>
    <w:rsid w:val="007C1288"/>
    <w:rsid w:val="007C64DB"/>
    <w:rsid w:val="008059FE"/>
    <w:rsid w:val="0085285D"/>
    <w:rsid w:val="00A13016"/>
    <w:rsid w:val="00A220FF"/>
    <w:rsid w:val="00B4731C"/>
    <w:rsid w:val="00C22482"/>
    <w:rsid w:val="00C43842"/>
    <w:rsid w:val="00D5679B"/>
    <w:rsid w:val="00D80FC6"/>
    <w:rsid w:val="00DC2F6B"/>
    <w:rsid w:val="00E14911"/>
    <w:rsid w:val="00E814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288"/>
    <w:pPr>
      <w:spacing w:after="0" w:line="240" w:lineRule="auto"/>
    </w:pPr>
    <w:rPr>
      <w:rFonts w:ascii="Times New Roman" w:eastAsia="Times New Roman" w:hAnsi="Times New Roman" w:cs="Times New Roman"/>
      <w:sz w:val="24"/>
      <w:szCs w:val="24"/>
      <w:lang w:val="fr-CA" w:eastAsia="fr-CA"/>
    </w:rPr>
  </w:style>
  <w:style w:type="paragraph" w:styleId="Titre1">
    <w:name w:val="heading 1"/>
    <w:basedOn w:val="Normal"/>
    <w:next w:val="Normal"/>
    <w:link w:val="Titre1Car"/>
    <w:uiPriority w:val="9"/>
    <w:rsid w:val="00E8140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8140F"/>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Titre1Car">
    <w:name w:val="Titre 1 Car"/>
    <w:basedOn w:val="Policepardfaut"/>
    <w:link w:val="Titre1"/>
    <w:uiPriority w:val="9"/>
    <w:rsid w:val="00E8140F"/>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E8140F"/>
    <w:pPr>
      <w:outlineLvl w:val="9"/>
    </w:pPr>
    <w:rPr>
      <w:lang w:val="fr-FR"/>
    </w:rPr>
  </w:style>
  <w:style w:type="paragraph" w:customStyle="1" w:styleId="Titre10">
    <w:name w:val="Titre1"/>
    <w:basedOn w:val="Normal"/>
    <w:link w:val="Titre1Car0"/>
    <w:qFormat/>
    <w:rsid w:val="00E8140F"/>
    <w:pPr>
      <w:pBdr>
        <w:top w:val="threeDEmboss" w:sz="24" w:space="1" w:color="auto"/>
        <w:left w:val="threeDEmboss" w:sz="24" w:space="4" w:color="auto"/>
        <w:bottom w:val="threeDEngrave" w:sz="24" w:space="1" w:color="auto"/>
        <w:right w:val="threeDEngrave" w:sz="24" w:space="4" w:color="auto"/>
      </w:pBdr>
      <w:shd w:val="pct12" w:color="auto" w:fill="auto"/>
      <w:spacing w:after="200" w:line="276" w:lineRule="auto"/>
      <w:jc w:val="center"/>
    </w:pPr>
    <w:rPr>
      <w:rFonts w:eastAsiaTheme="minorHAnsi"/>
      <w:b/>
      <w:lang w:eastAsia="en-US"/>
    </w:rPr>
  </w:style>
  <w:style w:type="character" w:customStyle="1" w:styleId="Titre1Car0">
    <w:name w:val="Titre1 Car"/>
    <w:basedOn w:val="Policepardfaut"/>
    <w:link w:val="Titre10"/>
    <w:rsid w:val="00E8140F"/>
    <w:rPr>
      <w:rFonts w:ascii="Times New Roman" w:hAnsi="Times New Roman" w:cs="Times New Roman"/>
      <w:b/>
      <w:sz w:val="24"/>
      <w:szCs w:val="24"/>
      <w:shd w:val="pct12" w:color="auto" w:fill="auto"/>
      <w:lang w:val="fr-CA"/>
    </w:rPr>
  </w:style>
  <w:style w:type="paragraph" w:customStyle="1" w:styleId="Style2">
    <w:name w:val="Style2"/>
    <w:basedOn w:val="Normal"/>
    <w:link w:val="Style2Car"/>
    <w:qFormat/>
    <w:rsid w:val="00E8140F"/>
    <w:pPr>
      <w:pBdr>
        <w:top w:val="single" w:sz="4" w:space="1" w:color="auto"/>
        <w:left w:val="single" w:sz="4" w:space="4" w:color="auto"/>
        <w:bottom w:val="single" w:sz="4" w:space="1" w:color="auto"/>
        <w:right w:val="single" w:sz="4" w:space="4" w:color="auto"/>
      </w:pBdr>
      <w:spacing w:line="276" w:lineRule="auto"/>
      <w:jc w:val="both"/>
    </w:pPr>
    <w:rPr>
      <w:rFonts w:eastAsiaTheme="minorHAnsi"/>
      <w:b/>
      <w:lang w:eastAsia="en-US"/>
    </w:rPr>
  </w:style>
  <w:style w:type="character" w:customStyle="1" w:styleId="Style2Car">
    <w:name w:val="Style2 Car"/>
    <w:basedOn w:val="Policepardfaut"/>
    <w:link w:val="Style2"/>
    <w:rsid w:val="00E8140F"/>
    <w:rPr>
      <w:rFonts w:ascii="Times New Roman" w:hAnsi="Times New Roman" w:cs="Times New Roman"/>
      <w:b/>
      <w:sz w:val="24"/>
      <w:szCs w:val="24"/>
      <w:lang w:val="fr-CA"/>
    </w:rPr>
  </w:style>
  <w:style w:type="paragraph" w:customStyle="1" w:styleId="Style3">
    <w:name w:val="Style3"/>
    <w:basedOn w:val="Normal"/>
    <w:link w:val="Style3Car"/>
    <w:qFormat/>
    <w:rsid w:val="00E8140F"/>
    <w:pPr>
      <w:spacing w:after="200" w:line="360" w:lineRule="auto"/>
      <w:jc w:val="both"/>
    </w:pPr>
    <w:rPr>
      <w:rFonts w:eastAsiaTheme="minorHAnsi"/>
      <w:b/>
      <w:i/>
      <w:noProof/>
      <w:lang w:eastAsia="en-US"/>
    </w:rPr>
  </w:style>
  <w:style w:type="character" w:customStyle="1" w:styleId="Style3Car">
    <w:name w:val="Style3 Car"/>
    <w:basedOn w:val="Policepardfaut"/>
    <w:link w:val="Style3"/>
    <w:rsid w:val="00E8140F"/>
    <w:rPr>
      <w:rFonts w:ascii="Times New Roman" w:hAnsi="Times New Roman" w:cs="Times New Roman"/>
      <w:b/>
      <w:i/>
      <w:noProof/>
      <w:sz w:val="24"/>
      <w:szCs w:val="24"/>
      <w:lang w:val="fr-CA"/>
    </w:rPr>
  </w:style>
  <w:style w:type="paragraph" w:styleId="Textedebulles">
    <w:name w:val="Balloon Text"/>
    <w:basedOn w:val="Normal"/>
    <w:link w:val="TextedebullesCar"/>
    <w:uiPriority w:val="99"/>
    <w:semiHidden/>
    <w:unhideWhenUsed/>
    <w:rsid w:val="007C1288"/>
    <w:rPr>
      <w:rFonts w:ascii="Tahoma" w:hAnsi="Tahoma" w:cs="Tahoma"/>
      <w:sz w:val="16"/>
      <w:szCs w:val="16"/>
    </w:rPr>
  </w:style>
  <w:style w:type="character" w:customStyle="1" w:styleId="TextedebullesCar">
    <w:name w:val="Texte de bulles Car"/>
    <w:basedOn w:val="Policepardfaut"/>
    <w:link w:val="Textedebulles"/>
    <w:uiPriority w:val="99"/>
    <w:semiHidden/>
    <w:rsid w:val="007C1288"/>
    <w:rPr>
      <w:rFonts w:ascii="Tahoma" w:eastAsia="Times New Roman" w:hAnsi="Tahoma" w:cs="Tahoma"/>
      <w:sz w:val="16"/>
      <w:szCs w:val="16"/>
      <w:lang w:val="fr-CA" w:eastAsia="fr-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1030</Words>
  <Characters>5872</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1</cp:revision>
  <dcterms:created xsi:type="dcterms:W3CDTF">2012-11-05T03:27:00Z</dcterms:created>
  <dcterms:modified xsi:type="dcterms:W3CDTF">2012-11-05T03:56:00Z</dcterms:modified>
</cp:coreProperties>
</file>